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79" w:rsidRPr="00891F79" w:rsidRDefault="00891F79" w:rsidP="00891F79">
      <w:pPr>
        <w:shd w:val="clear" w:color="auto" w:fill="FFFFFF"/>
        <w:spacing w:before="100" w:beforeAutospacing="1" w:after="100" w:afterAutospacing="1" w:line="240" w:lineRule="auto"/>
        <w:jc w:val="center"/>
        <w:rPr>
          <w:rFonts w:eastAsia="Times New Roman" w:cs="Tahoma"/>
          <w:color w:val="000000"/>
          <w:szCs w:val="18"/>
          <w:lang w:eastAsia="pl-PL"/>
        </w:rPr>
      </w:pPr>
      <w:r w:rsidRPr="00891F79">
        <w:rPr>
          <w:rFonts w:eastAsia="Times New Roman" w:cs="Tahoma"/>
          <w:b/>
          <w:bCs/>
          <w:color w:val="000000"/>
          <w:szCs w:val="18"/>
          <w:lang w:eastAsia="pl-PL"/>
        </w:rPr>
        <w:t>Regulamin funkcjonowania Strefy określający zasady parkowania pojazdów samochodowych na wyznaczonych parkingach.</w:t>
      </w:r>
    </w:p>
    <w:p w:rsidR="00891F79" w:rsidRPr="00891F79" w:rsidRDefault="00891F79" w:rsidP="00891F7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pl-PL"/>
        </w:rPr>
      </w:pPr>
      <w:r w:rsidRPr="00891F79">
        <w:rPr>
          <w:rFonts w:ascii="Tahoma" w:eastAsia="Times New Roman" w:hAnsi="Tahoma" w:cs="Tahoma"/>
          <w:color w:val="000000"/>
          <w:sz w:val="18"/>
          <w:szCs w:val="18"/>
          <w:lang w:eastAsia="pl-PL"/>
        </w:rPr>
        <w:t> </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 xml:space="preserve">Stawki opłat za parkowanie na parkingach płatnych niestrzeżonych obowiązują w dni robocze </w:t>
      </w:r>
      <w:r>
        <w:rPr>
          <w:rFonts w:eastAsia="Times New Roman" w:cs="Tahoma"/>
          <w:color w:val="000000"/>
          <w:szCs w:val="18"/>
          <w:lang w:eastAsia="pl-PL"/>
        </w:rPr>
        <w:br/>
      </w:r>
      <w:r w:rsidRPr="00891F79">
        <w:rPr>
          <w:rFonts w:eastAsia="Times New Roman" w:cs="Tahoma"/>
          <w:color w:val="000000"/>
          <w:szCs w:val="18"/>
          <w:lang w:eastAsia="pl-PL"/>
        </w:rPr>
        <w:t>od poniedziałku do piątku w godz. od 8</w:t>
      </w:r>
      <w:r w:rsidRPr="00891F79">
        <w:rPr>
          <w:rFonts w:eastAsia="Times New Roman" w:cs="Tahoma"/>
          <w:color w:val="000000"/>
          <w:szCs w:val="18"/>
          <w:vertAlign w:val="superscript"/>
          <w:lang w:eastAsia="pl-PL"/>
        </w:rPr>
        <w:t>00</w:t>
      </w:r>
      <w:r w:rsidRPr="00891F79">
        <w:rPr>
          <w:rFonts w:eastAsia="Times New Roman" w:cs="Tahoma"/>
          <w:color w:val="000000"/>
          <w:szCs w:val="18"/>
          <w:lang w:eastAsia="pl-PL"/>
        </w:rPr>
        <w:t> do 18 </w:t>
      </w:r>
      <w:r w:rsidRPr="00891F79">
        <w:rPr>
          <w:rFonts w:eastAsia="Times New Roman" w:cs="Tahoma"/>
          <w:color w:val="000000"/>
          <w:szCs w:val="18"/>
          <w:vertAlign w:val="superscript"/>
          <w:lang w:eastAsia="pl-PL"/>
        </w:rPr>
        <w:t>00</w:t>
      </w:r>
      <w:r w:rsidRPr="00891F79">
        <w:rPr>
          <w:rFonts w:eastAsia="Times New Roman" w:cs="Tahoma"/>
          <w:color w:val="000000"/>
          <w:szCs w:val="18"/>
          <w:lang w:eastAsia="pl-PL"/>
        </w:rPr>
        <w:t> .</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Stawka opłat „stawka zerowa” obowiązuje za pierwsze 60 minut parkowania dla osób niepełnosprawnych legitymujących się kartą parkingową osoby niepełnosprawnej potwierdzonego biletem parkingowym w miejscach w</w:t>
      </w:r>
      <w:bookmarkStart w:id="0" w:name="_GoBack"/>
      <w:bookmarkEnd w:id="0"/>
      <w:r w:rsidRPr="00891F79">
        <w:rPr>
          <w:rFonts w:eastAsia="Times New Roman" w:cs="Tahoma"/>
          <w:color w:val="000000"/>
          <w:szCs w:val="18"/>
          <w:lang w:eastAsia="pl-PL"/>
        </w:rPr>
        <w:t>yznaczonych w Strefie na wszystkich parkingach płatnych niestrzeżonych. Po przekroczeniu czasu 60 minut, obowiązują stawki opłat zgodnie z powszechnym taryfikatorem.</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Stawka opłat „stawka zerowa” obowiązuje za pierwsze 30 minut parkowania potwierdzonego biletem parkingowym na parkingu płatnym niestrzeżonym przy Pl. Staszica. Po przekroczeniu czasu 30 minut, obowiązują stawki opłat zgodnie z powszechnym taryfikatorem.</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Dopuszcza się pobieranie opłat w wysokości 0,00 zł – „stawka zerowa” podczas ogólnodostępnych imprez organizowanych w rejonie przez Urząd Miasta Piły.</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Parkowanie pojazdu samochodowego na parkingach płatnych niestrzeżonych wymaga wykupienia biletu w parkomacie lub opłacenie przez</w:t>
      </w:r>
      <w:r w:rsidR="00593A2B">
        <w:rPr>
          <w:rFonts w:eastAsia="Times New Roman" w:cs="Tahoma"/>
          <w:color w:val="000000"/>
          <w:szCs w:val="18"/>
          <w:lang w:eastAsia="pl-PL"/>
        </w:rPr>
        <w:t xml:space="preserve"> </w:t>
      </w:r>
      <w:r w:rsidRPr="00891F79">
        <w:rPr>
          <w:rFonts w:eastAsia="Times New Roman" w:cs="Tahoma"/>
          <w:color w:val="000000"/>
          <w:szCs w:val="18"/>
          <w:lang w:eastAsia="pl-PL"/>
        </w:rPr>
        <w:t>system płatności mobilnej niezwłocznie po zaparkowaniu pojazdu. Dowód wniesienia opłaty w postaci biletu lub opłaty abonamentowej ewentualnie identyfikator należy umieścić za przednią szybą wewnątrz pojazdu, w sposób umożliwiający odczytanie go z zewnątrz. Identyfikator systemu płatności mobilnych można pobrać w Biurze Strefy mieszczącym się w ZDIZ w Pile przy ul. Generała Władysława Andersa 10.</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Uprawnienia do kontroli w zakresie zgodności parkowania pojazdów z niniejszym Regulaminem posiada Straż Miejska oraz wyznaczeni pracownicy Zarządu Dróg i Zieleni w Pile.</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Brak ważnego biletu kontrolnego lub dokonanej płatności mobilnej powoduje konsekwencje w postaci obowiązku wniesienia opłaty dodatkowej w wysokości 50,00 zł.</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 Parkowanie po upływie czasu określonego na bilecie lub przekroczenie opłaconego czasu parkowania powoduje konsekwencje wniesienia opłaty dodatkowej stanowiącej dziesięciokrotność opłaty należnej za dodatkowy okres parkowania, ale nie więcej, niż 50,00 zł.</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Po stwierdzeniu niewniesienia należnej opłaty za parkowanie, wystawione jest wezwanie do uiszczenia opłaty dodatkowej. Wezwanie umieszcza się na przedniej szybie pojazdu pod wycieraczką.</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Opłatę dodatkową należy wnieść w terminie 7 dni od dnia otrzymania wezwania do zapłaty.</w:t>
      </w:r>
    </w:p>
    <w:p w:rsidR="00891F79" w:rsidRPr="00891F79" w:rsidRDefault="00891F79" w:rsidP="00891F79">
      <w:pPr>
        <w:numPr>
          <w:ilvl w:val="0"/>
          <w:numId w:val="1"/>
        </w:numPr>
        <w:shd w:val="clear" w:color="auto" w:fill="FFFFFF"/>
        <w:spacing w:before="100" w:beforeAutospacing="1" w:after="100" w:afterAutospacing="1" w:line="360" w:lineRule="auto"/>
        <w:jc w:val="both"/>
        <w:rPr>
          <w:rFonts w:eastAsia="Times New Roman" w:cs="Tahoma"/>
          <w:color w:val="000000"/>
          <w:szCs w:val="18"/>
          <w:lang w:eastAsia="pl-PL"/>
        </w:rPr>
      </w:pPr>
      <w:r w:rsidRPr="00891F79">
        <w:rPr>
          <w:rFonts w:eastAsia="Times New Roman" w:cs="Tahoma"/>
          <w:color w:val="000000"/>
          <w:szCs w:val="18"/>
          <w:lang w:eastAsia="pl-PL"/>
        </w:rPr>
        <w:t xml:space="preserve"> Należna nieuiszczona opłata dodatkowa podlega przymusowemu ściągnięciu w trybie określonym </w:t>
      </w:r>
      <w:r>
        <w:rPr>
          <w:rFonts w:eastAsia="Times New Roman" w:cs="Tahoma"/>
          <w:color w:val="000000"/>
          <w:szCs w:val="18"/>
          <w:lang w:eastAsia="pl-PL"/>
        </w:rPr>
        <w:br/>
      </w:r>
      <w:r w:rsidRPr="00891F79">
        <w:rPr>
          <w:rFonts w:eastAsia="Times New Roman" w:cs="Tahoma"/>
          <w:color w:val="000000"/>
          <w:szCs w:val="18"/>
          <w:lang w:eastAsia="pl-PL"/>
        </w:rPr>
        <w:t>w przepisach o postępowaniu egzekucyjnym w administracji.</w:t>
      </w:r>
    </w:p>
    <w:p w:rsidR="00574B04" w:rsidRDefault="00574B04"/>
    <w:sectPr w:rsidR="00574B04" w:rsidSect="00891F79">
      <w:pgSz w:w="11906" w:h="16838"/>
      <w:pgMar w:top="851" w:right="991"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B0"/>
    <w:multiLevelType w:val="multilevel"/>
    <w:tmpl w:val="9AFA00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F79"/>
    <w:rsid w:val="00574B04"/>
    <w:rsid w:val="00593A2B"/>
    <w:rsid w:val="00891F79"/>
    <w:rsid w:val="00C96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1F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1F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91F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91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7678">
      <w:bodyDiv w:val="1"/>
      <w:marLeft w:val="0"/>
      <w:marRight w:val="0"/>
      <w:marTop w:val="0"/>
      <w:marBottom w:val="0"/>
      <w:divBdr>
        <w:top w:val="none" w:sz="0" w:space="0" w:color="auto"/>
        <w:left w:val="none" w:sz="0" w:space="0" w:color="auto"/>
        <w:bottom w:val="none" w:sz="0" w:space="0" w:color="auto"/>
        <w:right w:val="none" w:sz="0" w:space="0" w:color="auto"/>
      </w:divBdr>
    </w:div>
    <w:div w:id="9297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Cieślak</dc:creator>
  <cp:lastModifiedBy>Damian Cieślak</cp:lastModifiedBy>
  <cp:revision>4</cp:revision>
  <dcterms:created xsi:type="dcterms:W3CDTF">2020-05-19T09:46:00Z</dcterms:created>
  <dcterms:modified xsi:type="dcterms:W3CDTF">2020-05-19T09:46:00Z</dcterms:modified>
</cp:coreProperties>
</file>